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01668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1668B">
              <w:t>09.06.2018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2579E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579EA">
              <w:t>19</w:t>
            </w:r>
            <w:r w:rsidR="002579EA">
              <w:rPr>
                <w:lang w:val="en-US"/>
              </w:rPr>
              <w:t>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FC2FAF" w:rsidRDefault="00593E8B" w:rsidP="00FC2FA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01668B" w:rsidRPr="0001668B">
              <w:t>Об установлении ОБЩЕСТВУ С ОГРАНИЧЕННОЙ ОТВЕТСТВЕННОСТЬЮ «БОР ИНВЕСТ» (ИНН 5246041888), г. Бор Нижегородской области, тарифов на тепловую энергию (мощность)</w:t>
            </w:r>
            <w:r w:rsidR="0001668B">
              <w:t xml:space="preserve"> на коллекторах источника тепловой энергии</w:t>
            </w:r>
            <w:r w:rsidR="00FC2FAF">
              <w:t xml:space="preserve"> (котельной по ул. Больничный городок, д. 1, р.п. Вознесенское Нижегородской области)</w:t>
            </w:r>
            <w:r w:rsidR="0001668B" w:rsidRPr="0001668B">
              <w:t xml:space="preserve">, поставляемую потребителям </w:t>
            </w:r>
          </w:p>
          <w:p w:rsidR="0085764D" w:rsidRPr="00252D0D" w:rsidRDefault="0001668B" w:rsidP="00FC2FAF">
            <w:pPr>
              <w:jc w:val="center"/>
            </w:pPr>
            <w:r w:rsidRPr="0001668B">
              <w:t>р.п. Вознесенское Нижегородской области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F0E2A" w:rsidRDefault="00DF0E2A" w:rsidP="00DD2C81">
      <w:pPr>
        <w:tabs>
          <w:tab w:val="left" w:pos="1897"/>
        </w:tabs>
        <w:jc w:val="center"/>
        <w:rPr>
          <w:bCs/>
          <w:szCs w:val="28"/>
        </w:rPr>
      </w:pPr>
    </w:p>
    <w:p w:rsidR="00740FF7" w:rsidRDefault="00740FF7" w:rsidP="00DD2C81">
      <w:pPr>
        <w:tabs>
          <w:tab w:val="left" w:pos="1897"/>
        </w:tabs>
        <w:jc w:val="center"/>
        <w:rPr>
          <w:szCs w:val="28"/>
        </w:rPr>
      </w:pPr>
    </w:p>
    <w:p w:rsidR="00FB1AD8" w:rsidRPr="00740FF7" w:rsidRDefault="00FB1AD8" w:rsidP="00740FF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DA4AC4" w:rsidRDefault="00EF47AC" w:rsidP="00DA4AC4">
      <w:pPr>
        <w:pStyle w:val="ac"/>
        <w:spacing w:line="276" w:lineRule="auto"/>
        <w:ind w:firstLine="720"/>
      </w:pPr>
      <w:r w:rsidRPr="00EF47AC"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685044">
        <w:br/>
      </w:r>
      <w:r w:rsidRPr="00EF47AC">
        <w:t>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ОБЩЕСТВОМ С ОГРАНИЧЕННОЙ ОТВЕТСТВЕННОСТЬЮ «БОР ИНВЕСТ»</w:t>
      </w:r>
      <w:r w:rsidR="0001668B">
        <w:t xml:space="preserve"> (ИНН 5246041888),</w:t>
      </w:r>
      <w:r w:rsidRPr="00EF47AC">
        <w:t xml:space="preserve"> г. Бор Нижегородской области, экспертного </w:t>
      </w:r>
      <w:r w:rsidRPr="00FC2FAF">
        <w:t>заключения</w:t>
      </w:r>
      <w:r w:rsidRPr="00EF2D6A">
        <w:t xml:space="preserve"> </w:t>
      </w:r>
      <w:r w:rsidR="00DA4AC4" w:rsidRPr="00EF2D6A">
        <w:t>рег. </w:t>
      </w:r>
      <w:r w:rsidR="00DA4AC4" w:rsidRPr="008463CA">
        <w:t>№ в-</w:t>
      </w:r>
      <w:r w:rsidR="000631FB" w:rsidRPr="008463CA">
        <w:t>120</w:t>
      </w:r>
      <w:r w:rsidR="00DA4AC4" w:rsidRPr="008463CA">
        <w:t xml:space="preserve"> от</w:t>
      </w:r>
      <w:r w:rsidR="00EF2D6A" w:rsidRPr="008463CA">
        <w:t xml:space="preserve"> </w:t>
      </w:r>
      <w:r w:rsidR="0088120E" w:rsidRPr="008463CA">
        <w:t>4 июня</w:t>
      </w:r>
      <w:r w:rsidR="00DA4AC4" w:rsidRPr="00EF2D6A">
        <w:t xml:space="preserve"> 201</w:t>
      </w:r>
      <w:r w:rsidR="0001668B" w:rsidRPr="00EF2D6A">
        <w:t>8</w:t>
      </w:r>
      <w:r w:rsidR="00DA4AC4">
        <w:t xml:space="preserve"> года:</w:t>
      </w:r>
    </w:p>
    <w:p w:rsidR="0001668B" w:rsidRPr="00EF47AC" w:rsidRDefault="00EF47AC" w:rsidP="0001668B">
      <w:pPr>
        <w:pStyle w:val="ac"/>
        <w:spacing w:line="276" w:lineRule="auto"/>
        <w:ind w:firstLine="708"/>
        <w:rPr>
          <w:bCs/>
        </w:rPr>
      </w:pPr>
      <w:r w:rsidRPr="00EF47AC">
        <w:rPr>
          <w:b/>
        </w:rPr>
        <w:t>1.</w:t>
      </w:r>
      <w:r w:rsidRPr="00EF47AC">
        <w:t xml:space="preserve"> </w:t>
      </w:r>
      <w:r w:rsidR="0001668B" w:rsidRPr="008F6D4A">
        <w:t xml:space="preserve">При установлении тарифов на тепловую энергию (мощность) на коллекторах источника тепловой энергии </w:t>
      </w:r>
      <w:r w:rsidR="00FC2FAF" w:rsidRPr="008F6D4A">
        <w:t xml:space="preserve">(котельной </w:t>
      </w:r>
      <w:r w:rsidR="00FC2FAF" w:rsidRPr="008F6D4A">
        <w:br/>
      </w:r>
      <w:r w:rsidR="00FC2FAF" w:rsidRPr="008F6D4A">
        <w:rPr>
          <w:bCs/>
        </w:rPr>
        <w:t xml:space="preserve">по ул. Больничный городок, д. 1, р.п. Вознесенское </w:t>
      </w:r>
      <w:r w:rsidR="00FC2FAF" w:rsidRPr="008F6D4A">
        <w:t>Нижегородской области)</w:t>
      </w:r>
      <w:r w:rsidR="00FC2FAF" w:rsidRPr="00685044">
        <w:t xml:space="preserve"> </w:t>
      </w:r>
      <w:r w:rsidR="0001668B" w:rsidRPr="0001668B">
        <w:t>для ОБЩЕСТВА С</w:t>
      </w:r>
      <w:r w:rsidR="0001668B">
        <w:t xml:space="preserve"> ОГРАНИЧЕННОЙ ОТВЕТСТВЕННОСТЬЮ </w:t>
      </w:r>
      <w:r w:rsidR="0001668B" w:rsidRPr="0001668B">
        <w:t xml:space="preserve">«БОР ИНВЕСТ» (ИНН 5246041888), г. Бор Нижегородской области, применять </w:t>
      </w:r>
      <w:r w:rsidR="0001668B" w:rsidRPr="00E665A4">
        <w:t>метод экономически обоснованных расходов (затрат).</w:t>
      </w:r>
    </w:p>
    <w:p w:rsidR="00EF47AC" w:rsidRPr="00EF47AC" w:rsidRDefault="00EF47AC" w:rsidP="0001668B">
      <w:pPr>
        <w:pStyle w:val="ac"/>
        <w:spacing w:line="276" w:lineRule="auto"/>
        <w:ind w:firstLine="720"/>
      </w:pPr>
      <w:r w:rsidRPr="00EF47AC">
        <w:rPr>
          <w:b/>
        </w:rPr>
        <w:t>2</w:t>
      </w:r>
      <w:r w:rsidR="0001668B">
        <w:rPr>
          <w:b/>
        </w:rPr>
        <w:t>.</w:t>
      </w:r>
      <w:r w:rsidRPr="00EF47AC">
        <w:t xml:space="preserve"> Установить ОБЩЕСТВУ С ОГРАНИЧЕННОЙ ОТВЕТСТВЕННОСТЬЮ «БОР ИНВЕСТ»</w:t>
      </w:r>
      <w:r w:rsidR="0001668B">
        <w:t xml:space="preserve"> </w:t>
      </w:r>
      <w:r w:rsidR="0001668B" w:rsidRPr="0001668B">
        <w:t>(ИНН 5246041888),</w:t>
      </w:r>
      <w:r w:rsidRPr="00EF47AC">
        <w:t xml:space="preserve"> г. Бор Нижегородской области, тарифы на тепловую энергию (мощность) </w:t>
      </w:r>
      <w:r w:rsidR="0001668B">
        <w:t>на коллекторах источника тепловой энергии</w:t>
      </w:r>
      <w:r w:rsidR="00FC2FAF">
        <w:t xml:space="preserve"> </w:t>
      </w:r>
      <w:r w:rsidR="00FC2FAF" w:rsidRPr="008F6D4A">
        <w:t xml:space="preserve">(котельной </w:t>
      </w:r>
      <w:r w:rsidR="00FC2FAF" w:rsidRPr="008F6D4A">
        <w:rPr>
          <w:bCs/>
        </w:rPr>
        <w:t xml:space="preserve">по ул. Больничный городок, д. 1, р.п. Вознесенское </w:t>
      </w:r>
      <w:r w:rsidR="00FC2FAF" w:rsidRPr="008F6D4A">
        <w:t>Нижегородской области)</w:t>
      </w:r>
      <w:r w:rsidR="0001668B" w:rsidRPr="008F6D4A">
        <w:t>,</w:t>
      </w:r>
      <w:r w:rsidR="0001668B" w:rsidRPr="0001668B">
        <w:t xml:space="preserve"> поставляемую потребителям р.п. Вознесенское Нижегородской области</w:t>
      </w:r>
      <w:r w:rsidR="0001668B">
        <w:t>, согласно Приложению</w:t>
      </w:r>
      <w:r w:rsidRPr="00EF47AC">
        <w:t xml:space="preserve">. </w:t>
      </w:r>
    </w:p>
    <w:p w:rsidR="00EF47AC" w:rsidRPr="00EF47AC" w:rsidRDefault="0001668B" w:rsidP="00556C16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F47AC" w:rsidRPr="00EF47AC">
        <w:rPr>
          <w:b/>
          <w:szCs w:val="28"/>
        </w:rPr>
        <w:t>.</w:t>
      </w:r>
      <w:r w:rsidR="00EF47AC" w:rsidRPr="00EF47AC">
        <w:rPr>
          <w:szCs w:val="28"/>
        </w:rPr>
        <w:t xml:space="preserve"> ОБЩЕСТВО С ОГРАНИЧЕННОЙ ОТВЕТСТВЕННОСТЬЮ «БОР ИНВЕСТ»</w:t>
      </w:r>
      <w:r>
        <w:rPr>
          <w:szCs w:val="28"/>
        </w:rPr>
        <w:t xml:space="preserve"> </w:t>
      </w:r>
      <w:r w:rsidRPr="0001668B">
        <w:t>(ИНН 5246041888),</w:t>
      </w:r>
      <w:r w:rsidR="00EF47AC" w:rsidRPr="00EF47AC">
        <w:rPr>
          <w:szCs w:val="28"/>
        </w:rPr>
        <w:t xml:space="preserve"> г. Бор Нижегородской области, применяет общий режим налогообложения и является плательщиком НДС.</w:t>
      </w:r>
    </w:p>
    <w:p w:rsidR="00EF47AC" w:rsidRPr="00EF47AC" w:rsidRDefault="00EF47AC" w:rsidP="00556C16">
      <w:pPr>
        <w:spacing w:line="276" w:lineRule="auto"/>
        <w:ind w:firstLine="720"/>
        <w:jc w:val="both"/>
        <w:rPr>
          <w:szCs w:val="28"/>
        </w:rPr>
      </w:pPr>
      <w:r w:rsidRPr="00EF47AC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EF47AC" w:rsidRPr="00EF47AC" w:rsidRDefault="0001668B" w:rsidP="00556C16">
      <w:pPr>
        <w:spacing w:line="276" w:lineRule="auto"/>
        <w:ind w:firstLine="720"/>
        <w:jc w:val="both"/>
        <w:rPr>
          <w:noProof/>
          <w:szCs w:val="28"/>
        </w:rPr>
      </w:pPr>
      <w:r>
        <w:rPr>
          <w:b/>
          <w:szCs w:val="28"/>
        </w:rPr>
        <w:t>4</w:t>
      </w:r>
      <w:r w:rsidR="00EF47AC" w:rsidRPr="00EF47AC">
        <w:rPr>
          <w:b/>
          <w:i/>
          <w:szCs w:val="28"/>
        </w:rPr>
        <w:t xml:space="preserve">.  </w:t>
      </w:r>
      <w:r w:rsidR="00EF47AC" w:rsidRPr="00EF47AC">
        <w:rPr>
          <w:szCs w:val="28"/>
        </w:rPr>
        <w:t xml:space="preserve">Тарифы, </w:t>
      </w:r>
      <w:r w:rsidR="00EF47AC" w:rsidRPr="008F6D4A">
        <w:rPr>
          <w:szCs w:val="28"/>
        </w:rPr>
        <w:t>установленные пункт</w:t>
      </w:r>
      <w:r w:rsidRPr="008F6D4A">
        <w:rPr>
          <w:szCs w:val="28"/>
        </w:rPr>
        <w:t>ом</w:t>
      </w:r>
      <w:r w:rsidR="00EF47AC" w:rsidRPr="008F6D4A">
        <w:rPr>
          <w:szCs w:val="28"/>
        </w:rPr>
        <w:t xml:space="preserve"> 2</w:t>
      </w:r>
      <w:r w:rsidR="00712FCD" w:rsidRPr="008F6D4A">
        <w:rPr>
          <w:szCs w:val="28"/>
        </w:rPr>
        <w:t xml:space="preserve"> </w:t>
      </w:r>
      <w:r w:rsidR="00EF47AC" w:rsidRPr="008F6D4A">
        <w:rPr>
          <w:szCs w:val="28"/>
        </w:rPr>
        <w:t xml:space="preserve">настоящего решения, действуют </w:t>
      </w:r>
      <w:r w:rsidRPr="008F6D4A">
        <w:rPr>
          <w:szCs w:val="28"/>
        </w:rPr>
        <w:br/>
      </w:r>
      <w:r w:rsidR="00EF47AC" w:rsidRPr="008F6D4A">
        <w:rPr>
          <w:szCs w:val="28"/>
        </w:rPr>
        <w:t>с 1 </w:t>
      </w:r>
      <w:r w:rsidRPr="008F6D4A">
        <w:rPr>
          <w:szCs w:val="28"/>
        </w:rPr>
        <w:t>июля</w:t>
      </w:r>
      <w:r w:rsidR="00EF47AC" w:rsidRPr="008F6D4A">
        <w:rPr>
          <w:szCs w:val="28"/>
        </w:rPr>
        <w:t xml:space="preserve"> 2018 года по 31 декабря 20</w:t>
      </w:r>
      <w:r w:rsidRPr="008F6D4A">
        <w:rPr>
          <w:szCs w:val="28"/>
        </w:rPr>
        <w:t>19</w:t>
      </w:r>
      <w:r w:rsidR="00EF47AC" w:rsidRPr="008F6D4A">
        <w:rPr>
          <w:szCs w:val="28"/>
        </w:rPr>
        <w:t xml:space="preserve"> года</w:t>
      </w:r>
      <w:r w:rsidR="00EF47AC" w:rsidRPr="00EF47AC">
        <w:rPr>
          <w:szCs w:val="28"/>
        </w:rPr>
        <w:t xml:space="preserve"> включительно.</w:t>
      </w:r>
    </w:p>
    <w:p w:rsidR="003927BD" w:rsidRDefault="003927BD" w:rsidP="003927BD">
      <w:pPr>
        <w:tabs>
          <w:tab w:val="left" w:pos="1897"/>
        </w:tabs>
        <w:spacing w:line="276" w:lineRule="auto"/>
        <w:rPr>
          <w:rFonts w:eastAsia="Calibri"/>
          <w:sz w:val="24"/>
          <w:szCs w:val="24"/>
          <w:lang w:eastAsia="en-US"/>
        </w:rPr>
      </w:pPr>
    </w:p>
    <w:p w:rsidR="007D3F68" w:rsidRDefault="007D3F68" w:rsidP="003927BD">
      <w:pPr>
        <w:tabs>
          <w:tab w:val="left" w:pos="1897"/>
        </w:tabs>
        <w:spacing w:line="276" w:lineRule="auto"/>
        <w:rPr>
          <w:rFonts w:eastAsia="Calibri"/>
          <w:sz w:val="24"/>
          <w:szCs w:val="24"/>
          <w:lang w:eastAsia="en-US"/>
        </w:rPr>
      </w:pPr>
    </w:p>
    <w:p w:rsidR="007D3F68" w:rsidRDefault="007D3F68" w:rsidP="003927BD">
      <w:pPr>
        <w:tabs>
          <w:tab w:val="left" w:pos="1897"/>
        </w:tabs>
        <w:spacing w:line="276" w:lineRule="auto"/>
        <w:rPr>
          <w:szCs w:val="28"/>
        </w:rPr>
      </w:pPr>
    </w:p>
    <w:p w:rsidR="003927BD" w:rsidRDefault="0001668B" w:rsidP="00905B8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927BD">
        <w:rPr>
          <w:szCs w:val="28"/>
        </w:rPr>
        <w:t>уководител</w:t>
      </w:r>
      <w:r>
        <w:rPr>
          <w:szCs w:val="28"/>
        </w:rPr>
        <w:t>ь</w:t>
      </w:r>
      <w:r w:rsidR="003927BD">
        <w:rPr>
          <w:szCs w:val="28"/>
        </w:rPr>
        <w:t xml:space="preserve"> службы</w:t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  <w:t xml:space="preserve"> </w:t>
      </w:r>
      <w:r>
        <w:rPr>
          <w:szCs w:val="28"/>
        </w:rPr>
        <w:t xml:space="preserve">             А.Г.Малухин</w:t>
      </w: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EF47AC" w:rsidRDefault="00EF47AC" w:rsidP="00905B82">
      <w:pPr>
        <w:tabs>
          <w:tab w:val="left" w:pos="1897"/>
        </w:tabs>
        <w:spacing w:line="276" w:lineRule="auto"/>
        <w:rPr>
          <w:szCs w:val="28"/>
        </w:rPr>
      </w:pPr>
    </w:p>
    <w:p w:rsidR="00EF47AC" w:rsidRDefault="00EF47AC" w:rsidP="00905B82">
      <w:pPr>
        <w:tabs>
          <w:tab w:val="left" w:pos="1897"/>
        </w:tabs>
        <w:spacing w:line="276" w:lineRule="auto"/>
        <w:rPr>
          <w:szCs w:val="28"/>
        </w:rPr>
      </w:pPr>
    </w:p>
    <w:p w:rsidR="00EF47AC" w:rsidRDefault="00EF47AC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EF47AC" w:rsidRPr="00EF47AC" w:rsidTr="00165273">
        <w:trPr>
          <w:trHeight w:val="1526"/>
        </w:trPr>
        <w:tc>
          <w:tcPr>
            <w:tcW w:w="4997" w:type="dxa"/>
          </w:tcPr>
          <w:p w:rsidR="00EF47AC" w:rsidRPr="00EF47AC" w:rsidRDefault="00EF47AC" w:rsidP="00EF47AC">
            <w:pPr>
              <w:tabs>
                <w:tab w:val="left" w:pos="1897"/>
              </w:tabs>
              <w:spacing w:line="276" w:lineRule="auto"/>
              <w:rPr>
                <w:szCs w:val="28"/>
              </w:rPr>
            </w:pPr>
          </w:p>
        </w:tc>
        <w:tc>
          <w:tcPr>
            <w:tcW w:w="4998" w:type="dxa"/>
            <w:hideMark/>
          </w:tcPr>
          <w:p w:rsidR="00EF47AC" w:rsidRPr="00EF47AC" w:rsidRDefault="0001668B" w:rsidP="00EF47AC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EF47AC" w:rsidRPr="00EF47AC" w:rsidRDefault="00EF47AC" w:rsidP="00EF47AC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EF47AC">
              <w:rPr>
                <w:szCs w:val="28"/>
              </w:rPr>
              <w:t>к решению региональной службы</w:t>
            </w:r>
          </w:p>
          <w:p w:rsidR="00EF47AC" w:rsidRPr="00EF47AC" w:rsidRDefault="00EF47AC" w:rsidP="00EF47AC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EF47AC">
              <w:rPr>
                <w:szCs w:val="28"/>
              </w:rPr>
              <w:t>по тарифам Нижегородской области</w:t>
            </w:r>
          </w:p>
          <w:p w:rsidR="00EF47AC" w:rsidRPr="00EF47AC" w:rsidRDefault="00EF47AC" w:rsidP="0001668B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EF47AC">
              <w:rPr>
                <w:szCs w:val="28"/>
              </w:rPr>
              <w:t xml:space="preserve">от </w:t>
            </w:r>
            <w:r w:rsidR="0001668B">
              <w:rPr>
                <w:szCs w:val="28"/>
              </w:rPr>
              <w:t>9 июня</w:t>
            </w:r>
            <w:r w:rsidRPr="00EF47AC">
              <w:rPr>
                <w:szCs w:val="28"/>
              </w:rPr>
              <w:t xml:space="preserve"> 201</w:t>
            </w:r>
            <w:r w:rsidR="0001668B">
              <w:rPr>
                <w:szCs w:val="28"/>
              </w:rPr>
              <w:t>8</w:t>
            </w:r>
            <w:r w:rsidRPr="00EF47AC">
              <w:rPr>
                <w:szCs w:val="28"/>
              </w:rPr>
              <w:t xml:space="preserve"> года №</w:t>
            </w:r>
            <w:r w:rsidR="002579EA" w:rsidRPr="002579EA">
              <w:rPr>
                <w:szCs w:val="28"/>
              </w:rPr>
              <w:t xml:space="preserve"> 19</w:t>
            </w:r>
            <w:r w:rsidR="002579EA">
              <w:rPr>
                <w:szCs w:val="28"/>
                <w:lang w:val="en-US"/>
              </w:rPr>
              <w:t>/4</w:t>
            </w:r>
            <w:bookmarkStart w:id="2" w:name="_GoBack"/>
            <w:bookmarkEnd w:id="2"/>
            <w:r w:rsidR="001A17AA">
              <w:rPr>
                <w:szCs w:val="28"/>
              </w:rPr>
              <w:t xml:space="preserve"> </w:t>
            </w:r>
          </w:p>
        </w:tc>
      </w:tr>
    </w:tbl>
    <w:p w:rsidR="00EF47AC" w:rsidRPr="00556C16" w:rsidRDefault="00EF47AC" w:rsidP="00EF47AC">
      <w:pPr>
        <w:tabs>
          <w:tab w:val="left" w:pos="1897"/>
        </w:tabs>
        <w:spacing w:line="276" w:lineRule="auto"/>
        <w:rPr>
          <w:szCs w:val="28"/>
        </w:rPr>
      </w:pPr>
    </w:p>
    <w:p w:rsidR="00EF47AC" w:rsidRDefault="00556C16" w:rsidP="00FC2FAF">
      <w:pPr>
        <w:tabs>
          <w:tab w:val="left" w:pos="1897"/>
        </w:tabs>
        <w:jc w:val="center"/>
        <w:rPr>
          <w:b/>
          <w:szCs w:val="28"/>
        </w:rPr>
      </w:pPr>
      <w:r w:rsidRPr="00052665">
        <w:rPr>
          <w:b/>
          <w:szCs w:val="28"/>
        </w:rPr>
        <w:t xml:space="preserve">Тарифы на тепловую энергию (мощность) на коллекторах </w:t>
      </w:r>
      <w:r w:rsidR="0001668B" w:rsidRPr="00052665">
        <w:rPr>
          <w:b/>
          <w:szCs w:val="28"/>
        </w:rPr>
        <w:t>источн</w:t>
      </w:r>
      <w:r w:rsidR="00D61CD7" w:rsidRPr="00052665">
        <w:rPr>
          <w:b/>
          <w:szCs w:val="28"/>
        </w:rPr>
        <w:t>и</w:t>
      </w:r>
      <w:r w:rsidR="0001668B" w:rsidRPr="00052665">
        <w:rPr>
          <w:b/>
          <w:szCs w:val="28"/>
        </w:rPr>
        <w:t xml:space="preserve">ка тепловой </w:t>
      </w:r>
      <w:r w:rsidR="0001668B" w:rsidRPr="008F6D4A">
        <w:rPr>
          <w:b/>
          <w:szCs w:val="28"/>
        </w:rPr>
        <w:t>энергии</w:t>
      </w:r>
      <w:r w:rsidR="00052665" w:rsidRPr="008F6D4A">
        <w:rPr>
          <w:b/>
          <w:szCs w:val="28"/>
        </w:rPr>
        <w:t xml:space="preserve"> (котельной </w:t>
      </w:r>
      <w:r w:rsidR="00052665" w:rsidRPr="008F6D4A">
        <w:rPr>
          <w:b/>
          <w:bCs/>
          <w:szCs w:val="28"/>
        </w:rPr>
        <w:t xml:space="preserve">по ул. Больничный городок, д. 1, </w:t>
      </w:r>
      <w:r w:rsidR="00052665" w:rsidRPr="008F6D4A">
        <w:rPr>
          <w:b/>
          <w:bCs/>
          <w:szCs w:val="28"/>
        </w:rPr>
        <w:br/>
        <w:t xml:space="preserve">р.п. Вознесенское </w:t>
      </w:r>
      <w:r w:rsidR="00052665" w:rsidRPr="008F6D4A">
        <w:rPr>
          <w:b/>
          <w:szCs w:val="28"/>
        </w:rPr>
        <w:t>Нижегородской области)</w:t>
      </w:r>
      <w:r w:rsidRPr="008F6D4A">
        <w:rPr>
          <w:b/>
          <w:szCs w:val="28"/>
        </w:rPr>
        <w:t xml:space="preserve">, поставляемую </w:t>
      </w:r>
      <w:r w:rsidRPr="008F6D4A">
        <w:rPr>
          <w:b/>
          <w:bCs/>
          <w:szCs w:val="28"/>
        </w:rPr>
        <w:t xml:space="preserve">ОБЩЕСТВОМ </w:t>
      </w:r>
      <w:r w:rsidR="00052665" w:rsidRPr="008F6D4A">
        <w:rPr>
          <w:b/>
          <w:bCs/>
          <w:szCs w:val="28"/>
        </w:rPr>
        <w:br/>
      </w:r>
      <w:r w:rsidRPr="008F6D4A">
        <w:rPr>
          <w:b/>
          <w:bCs/>
          <w:szCs w:val="28"/>
        </w:rPr>
        <w:t>С ОГРАНИЧЕННОЙ ОТВЕТСТВЕННОСТЬЮ</w:t>
      </w:r>
      <w:r w:rsidRPr="00052665">
        <w:rPr>
          <w:b/>
          <w:bCs/>
          <w:szCs w:val="28"/>
        </w:rPr>
        <w:t xml:space="preserve"> «БОР ИНВЕСТ»</w:t>
      </w:r>
      <w:r w:rsidR="0001668B" w:rsidRPr="00052665">
        <w:rPr>
          <w:b/>
          <w:bCs/>
          <w:szCs w:val="28"/>
        </w:rPr>
        <w:t xml:space="preserve"> </w:t>
      </w:r>
      <w:r w:rsidR="00052665">
        <w:rPr>
          <w:b/>
          <w:bCs/>
          <w:szCs w:val="28"/>
        </w:rPr>
        <w:br/>
      </w:r>
      <w:r w:rsidR="0001668B" w:rsidRPr="00052665">
        <w:rPr>
          <w:b/>
          <w:szCs w:val="28"/>
        </w:rPr>
        <w:t>(ИНН 5246041888),</w:t>
      </w:r>
      <w:r w:rsidRPr="00052665">
        <w:rPr>
          <w:b/>
          <w:bCs/>
          <w:szCs w:val="28"/>
        </w:rPr>
        <w:t xml:space="preserve"> г. Бор Нижегородской области</w:t>
      </w:r>
      <w:r w:rsidRPr="00052665">
        <w:rPr>
          <w:b/>
          <w:szCs w:val="28"/>
        </w:rPr>
        <w:t xml:space="preserve">, потребителям </w:t>
      </w:r>
      <w:r w:rsidR="00052665">
        <w:rPr>
          <w:b/>
          <w:szCs w:val="28"/>
        </w:rPr>
        <w:br/>
      </w:r>
      <w:r w:rsidR="0001668B" w:rsidRPr="00052665">
        <w:rPr>
          <w:b/>
          <w:szCs w:val="28"/>
        </w:rPr>
        <w:t>р.п. Вознесенское</w:t>
      </w:r>
      <w:r w:rsidRPr="00052665">
        <w:rPr>
          <w:b/>
          <w:szCs w:val="28"/>
        </w:rPr>
        <w:t xml:space="preserve"> Нижегородской</w:t>
      </w:r>
      <w:r w:rsidRPr="00556C16">
        <w:rPr>
          <w:b/>
          <w:szCs w:val="28"/>
        </w:rPr>
        <w:t xml:space="preserve"> области</w:t>
      </w:r>
    </w:p>
    <w:p w:rsidR="00556C16" w:rsidRDefault="00556C16" w:rsidP="00556C16">
      <w:pPr>
        <w:tabs>
          <w:tab w:val="left" w:pos="1897"/>
        </w:tabs>
        <w:spacing w:line="276" w:lineRule="auto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6"/>
        <w:gridCol w:w="2912"/>
        <w:gridCol w:w="2140"/>
        <w:gridCol w:w="897"/>
        <w:gridCol w:w="1587"/>
        <w:gridCol w:w="1559"/>
      </w:tblGrid>
      <w:tr w:rsidR="00D50694" w:rsidRPr="00A54164" w:rsidTr="007C7A92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90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24" w:firstLine="24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>Вид тарифа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24" w:firstLine="24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>Год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24" w:firstLine="24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>Вода</w:t>
            </w:r>
          </w:p>
        </w:tc>
      </w:tr>
      <w:tr w:rsidR="00D50694" w:rsidRPr="00A54164" w:rsidTr="007C7A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94" w:rsidRPr="00D50694" w:rsidRDefault="00D50694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94" w:rsidRPr="00D50694" w:rsidRDefault="00D50694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94" w:rsidRPr="00D50694" w:rsidRDefault="00D50694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94" w:rsidRPr="00D50694" w:rsidRDefault="00D50694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24" w:firstLine="24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 xml:space="preserve">с 1 января  по 30 июня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D50694" w:rsidRDefault="00D50694" w:rsidP="007C7A92">
            <w:pPr>
              <w:spacing w:line="276" w:lineRule="auto"/>
              <w:ind w:left="-24" w:firstLine="24"/>
              <w:jc w:val="center"/>
              <w:rPr>
                <w:b/>
                <w:bCs/>
                <w:sz w:val="20"/>
                <w:lang w:eastAsia="en-US"/>
              </w:rPr>
            </w:pPr>
            <w:r w:rsidRPr="00D50694">
              <w:rPr>
                <w:b/>
                <w:bCs/>
                <w:sz w:val="20"/>
                <w:lang w:eastAsia="en-US"/>
              </w:rPr>
              <w:t xml:space="preserve">с 1 июля по 31 декабря </w:t>
            </w:r>
          </w:p>
        </w:tc>
      </w:tr>
      <w:tr w:rsidR="0001668B" w:rsidRPr="00A54164" w:rsidTr="0001668B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A54164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D50694" w:rsidRDefault="0001668B" w:rsidP="007C7A92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50694">
              <w:rPr>
                <w:sz w:val="24"/>
                <w:szCs w:val="24"/>
                <w:lang w:eastAsia="en-US"/>
              </w:rPr>
              <w:t xml:space="preserve">ОБЩЕСТВО С </w:t>
            </w:r>
            <w:r w:rsidRPr="0001668B">
              <w:rPr>
                <w:sz w:val="24"/>
                <w:szCs w:val="24"/>
                <w:lang w:eastAsia="en-US"/>
              </w:rPr>
              <w:t>ОГРАНИЧЕННОЙ ОТВЕТСТВЕННОСТЬЮ «БОР ИНВЕСТ»</w:t>
            </w:r>
            <w:r w:rsidRPr="000166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1668B">
              <w:rPr>
                <w:sz w:val="24"/>
                <w:szCs w:val="24"/>
              </w:rPr>
              <w:t>(ИНН 5246041888),</w:t>
            </w:r>
            <w:r w:rsidRPr="0001668B">
              <w:rPr>
                <w:sz w:val="24"/>
                <w:szCs w:val="24"/>
                <w:lang w:eastAsia="en-US"/>
              </w:rPr>
              <w:t xml:space="preserve"> г. Бор Нижегородской области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firstLine="24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D50694" w:rsidRDefault="0001668B" w:rsidP="007C7A9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D50694" w:rsidRDefault="0041459D" w:rsidP="007C7A9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1889,23</w:t>
            </w:r>
          </w:p>
        </w:tc>
      </w:tr>
      <w:tr w:rsidR="0001668B" w:rsidRPr="00A54164" w:rsidTr="0001668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sz w:val="20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D50694" w:rsidRDefault="0041459D" w:rsidP="007C7A9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1889,23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D50694" w:rsidRDefault="0041459D" w:rsidP="007C7A9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1963,74</w:t>
            </w:r>
          </w:p>
        </w:tc>
      </w:tr>
      <w:tr w:rsidR="00D50694" w:rsidRPr="00A54164" w:rsidTr="007C7A92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94" w:rsidRPr="00A54164" w:rsidRDefault="00D50694" w:rsidP="007C7A92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94" w:rsidRPr="00A54164" w:rsidRDefault="00D50694" w:rsidP="007C7A92">
            <w:pPr>
              <w:rPr>
                <w:sz w:val="20"/>
                <w:lang w:eastAsia="en-US"/>
              </w:rPr>
            </w:pPr>
          </w:p>
        </w:tc>
        <w:tc>
          <w:tcPr>
            <w:tcW w:w="6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94" w:rsidRPr="00A54164" w:rsidRDefault="00D50694" w:rsidP="007C7A92">
            <w:pPr>
              <w:spacing w:line="276" w:lineRule="auto"/>
              <w:ind w:left="-24" w:firstLine="24"/>
              <w:rPr>
                <w:b/>
                <w:bCs/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01668B" w:rsidRPr="00A54164" w:rsidTr="0001668B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A54164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sz w:val="20"/>
                <w:lang w:eastAsia="en-US"/>
              </w:rPr>
            </w:pP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firstLine="24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A54164" w:rsidRDefault="0001668B" w:rsidP="007C7A92">
            <w:pPr>
              <w:spacing w:line="276" w:lineRule="auto"/>
              <w:ind w:left="-24" w:firstLine="24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A54164" w:rsidRDefault="006752B6" w:rsidP="007C7A92">
            <w:pPr>
              <w:spacing w:line="276" w:lineRule="auto"/>
              <w:ind w:left="-24" w:firstLine="24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  <w:tr w:rsidR="0001668B" w:rsidRPr="00A54164" w:rsidTr="0001668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8B" w:rsidRPr="00A54164" w:rsidRDefault="0001668B" w:rsidP="007C7A92">
            <w:pPr>
              <w:rPr>
                <w:sz w:val="20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8B" w:rsidRPr="00A54164" w:rsidRDefault="0001668B" w:rsidP="007C7A92">
            <w:pPr>
              <w:spacing w:line="276" w:lineRule="auto"/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A54164">
              <w:rPr>
                <w:sz w:val="20"/>
                <w:lang w:eastAsia="en-US"/>
              </w:rPr>
              <w:t>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A54164" w:rsidRDefault="006752B6" w:rsidP="007C7A92">
            <w:pPr>
              <w:spacing w:line="276" w:lineRule="auto"/>
              <w:ind w:left="-24" w:firstLine="24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8B" w:rsidRPr="00A54164" w:rsidRDefault="006752B6" w:rsidP="007C7A92">
            <w:pPr>
              <w:spacing w:line="276" w:lineRule="auto"/>
              <w:ind w:left="-24" w:firstLine="24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</w:tbl>
    <w:p w:rsidR="00EF47AC" w:rsidRDefault="00EF47AC" w:rsidP="00EF47AC">
      <w:pPr>
        <w:tabs>
          <w:tab w:val="left" w:pos="1897"/>
        </w:tabs>
        <w:spacing w:line="276" w:lineRule="auto"/>
        <w:jc w:val="both"/>
        <w:rPr>
          <w:szCs w:val="28"/>
        </w:rPr>
      </w:pPr>
      <w:r w:rsidRPr="00685044">
        <w:rPr>
          <w:szCs w:val="28"/>
        </w:rPr>
        <w:t xml:space="preserve">ПРИМЕЧАНИЕ: величина расходов на топливо, отнесенных на 1 Гкал тепловой энергии, отпускаемой в виде воды от источника тепловой </w:t>
      </w:r>
      <w:r w:rsidRPr="008F6D4A">
        <w:rPr>
          <w:szCs w:val="28"/>
        </w:rPr>
        <w:t xml:space="preserve">энергии (котельной </w:t>
      </w:r>
      <w:r w:rsidR="00685044" w:rsidRPr="008F6D4A">
        <w:rPr>
          <w:szCs w:val="28"/>
        </w:rPr>
        <w:br/>
      </w:r>
      <w:r w:rsidRPr="008F6D4A">
        <w:rPr>
          <w:bCs/>
          <w:szCs w:val="28"/>
        </w:rPr>
        <w:t xml:space="preserve">по ул. </w:t>
      </w:r>
      <w:r w:rsidR="0001668B" w:rsidRPr="008F6D4A">
        <w:rPr>
          <w:bCs/>
          <w:szCs w:val="28"/>
        </w:rPr>
        <w:t>Больничный городок</w:t>
      </w:r>
      <w:r w:rsidRPr="008F6D4A">
        <w:rPr>
          <w:bCs/>
          <w:szCs w:val="28"/>
        </w:rPr>
        <w:t xml:space="preserve">, </w:t>
      </w:r>
      <w:r w:rsidR="004203CF" w:rsidRPr="008F6D4A">
        <w:rPr>
          <w:bCs/>
          <w:szCs w:val="28"/>
        </w:rPr>
        <w:t xml:space="preserve">д. 1, </w:t>
      </w:r>
      <w:r w:rsidR="0001668B" w:rsidRPr="008F6D4A">
        <w:rPr>
          <w:bCs/>
          <w:szCs w:val="28"/>
        </w:rPr>
        <w:t>р.п. Вознесенское</w:t>
      </w:r>
      <w:r w:rsidRPr="008F6D4A">
        <w:rPr>
          <w:bCs/>
          <w:szCs w:val="28"/>
        </w:rPr>
        <w:t xml:space="preserve"> </w:t>
      </w:r>
      <w:r w:rsidRPr="008F6D4A">
        <w:rPr>
          <w:szCs w:val="28"/>
        </w:rPr>
        <w:t>Нижегородской области)</w:t>
      </w:r>
      <w:r w:rsidRPr="00685044">
        <w:rPr>
          <w:szCs w:val="28"/>
        </w:rPr>
        <w:t xml:space="preserve"> ОБЩЕСТВА С ОГРАНИЧЕННОЙ ОТВЕТСТВЕННОСТЬЮ «БОР ИНВЕСТ»</w:t>
      </w:r>
      <w:r w:rsidR="0001668B">
        <w:rPr>
          <w:szCs w:val="28"/>
        </w:rPr>
        <w:t xml:space="preserve"> </w:t>
      </w:r>
      <w:r w:rsidR="0001668B" w:rsidRPr="0001668B">
        <w:t>(ИНН 5246041888),</w:t>
      </w:r>
      <w:r w:rsidRPr="00685044">
        <w:rPr>
          <w:szCs w:val="28"/>
        </w:rPr>
        <w:t xml:space="preserve"> г. Бор Нижегородской области, составляет:</w:t>
      </w:r>
    </w:p>
    <w:p w:rsidR="00D50694" w:rsidRPr="00D50694" w:rsidRDefault="00D50694" w:rsidP="00D50694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D50694">
        <w:rPr>
          <w:szCs w:val="28"/>
        </w:rPr>
        <w:t xml:space="preserve">- с 1 июля по 31 декабря 2018 года – </w:t>
      </w:r>
      <w:r w:rsidR="0041459D">
        <w:rPr>
          <w:szCs w:val="28"/>
        </w:rPr>
        <w:t>783,85</w:t>
      </w:r>
      <w:r w:rsidRPr="00D50694">
        <w:rPr>
          <w:szCs w:val="28"/>
        </w:rPr>
        <w:t xml:space="preserve"> руб./Гкал, </w:t>
      </w:r>
    </w:p>
    <w:p w:rsidR="00D50694" w:rsidRPr="00D50694" w:rsidRDefault="00D50694" w:rsidP="00D50694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D50694">
        <w:rPr>
          <w:szCs w:val="28"/>
        </w:rPr>
        <w:t xml:space="preserve">- с 1 января по 30 июня 2019 года – </w:t>
      </w:r>
      <w:r w:rsidR="0041459D">
        <w:rPr>
          <w:szCs w:val="28"/>
        </w:rPr>
        <w:t>783,85</w:t>
      </w:r>
      <w:r w:rsidRPr="00D50694">
        <w:rPr>
          <w:szCs w:val="28"/>
        </w:rPr>
        <w:t xml:space="preserve"> руб./Гкал,</w:t>
      </w:r>
    </w:p>
    <w:p w:rsidR="00D50694" w:rsidRPr="00D50694" w:rsidRDefault="00D50694" w:rsidP="00D50694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D50694">
        <w:rPr>
          <w:szCs w:val="28"/>
        </w:rPr>
        <w:t>- с 1 июля по 31 декабр</w:t>
      </w:r>
      <w:r w:rsidR="0041459D">
        <w:rPr>
          <w:szCs w:val="28"/>
        </w:rPr>
        <w:t>я 2019 года – 808,15</w:t>
      </w:r>
      <w:r w:rsidR="0001668B">
        <w:rPr>
          <w:szCs w:val="28"/>
        </w:rPr>
        <w:t xml:space="preserve"> руб./Гкал</w:t>
      </w:r>
      <w:r w:rsidRPr="00D50694">
        <w:rPr>
          <w:szCs w:val="28"/>
        </w:rPr>
        <w:t>.</w:t>
      </w:r>
    </w:p>
    <w:p w:rsidR="00D50694" w:rsidRPr="00D50694" w:rsidRDefault="00D50694" w:rsidP="00D50694">
      <w:pPr>
        <w:tabs>
          <w:tab w:val="left" w:pos="1897"/>
        </w:tabs>
        <w:spacing w:line="276" w:lineRule="auto"/>
        <w:jc w:val="both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1" w:rsidRDefault="00C64A41">
      <w:r>
        <w:separator/>
      </w:r>
    </w:p>
  </w:endnote>
  <w:endnote w:type="continuationSeparator" w:id="0">
    <w:p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1" w:rsidRDefault="00C64A41">
      <w:r>
        <w:separator/>
      </w:r>
    </w:p>
  </w:footnote>
  <w:footnote w:type="continuationSeparator" w:id="0">
    <w:p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79EA">
      <w:rPr>
        <w:rStyle w:val="a9"/>
        <w:noProof/>
      </w:rPr>
      <w:t>3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2579E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668B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665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31FB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9EA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D702F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9D"/>
    <w:rsid w:val="004145B9"/>
    <w:rsid w:val="00414F53"/>
    <w:rsid w:val="00415A48"/>
    <w:rsid w:val="00415DDF"/>
    <w:rsid w:val="004164EE"/>
    <w:rsid w:val="0041783D"/>
    <w:rsid w:val="00417B00"/>
    <w:rsid w:val="00417B2E"/>
    <w:rsid w:val="004203CF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2B6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3CA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20E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6D4A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5A4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D6A"/>
    <w:rsid w:val="00EF3525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FAF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103</TotalTime>
  <Pages>3</Pages>
  <Words>442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27</cp:revision>
  <cp:lastPrinted>2018-06-09T06:30:00Z</cp:lastPrinted>
  <dcterms:created xsi:type="dcterms:W3CDTF">2017-11-18T09:57:00Z</dcterms:created>
  <dcterms:modified xsi:type="dcterms:W3CDTF">2018-06-09T06:30:00Z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